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E33F" w14:textId="77777777" w:rsidR="006D4CCA" w:rsidRDefault="006D4CCA"/>
    <w:p w14:paraId="63C82595" w14:textId="77777777" w:rsidR="00A44A8E" w:rsidRDefault="00A44A8E"/>
    <w:p w14:paraId="66C9A186" w14:textId="77777777" w:rsidR="00A44A8E" w:rsidRPr="00AD76B0" w:rsidRDefault="00A44A8E" w:rsidP="00A44A8E">
      <w:pPr>
        <w:spacing w:line="276" w:lineRule="auto"/>
        <w:jc w:val="center"/>
        <w:rPr>
          <w:rFonts w:ascii="Poppins" w:eastAsia="Poppins" w:hAnsi="Poppins" w:cs="Poppins"/>
          <w:b/>
          <w:bCs/>
          <w:sz w:val="58"/>
          <w:szCs w:val="58"/>
        </w:rPr>
      </w:pPr>
      <w:r w:rsidRPr="00AD76B0">
        <w:rPr>
          <w:rFonts w:ascii="Poppins" w:eastAsia="Poppins" w:hAnsi="Poppins" w:cs="Poppins"/>
          <w:b/>
          <w:bCs/>
          <w:sz w:val="58"/>
          <w:szCs w:val="58"/>
        </w:rPr>
        <w:t>INCLUSIVE-UNI</w:t>
      </w:r>
    </w:p>
    <w:p w14:paraId="6AA98D63" w14:textId="77777777" w:rsidR="00A44A8E" w:rsidRDefault="00A44A8E" w:rsidP="00A44A8E">
      <w:pPr>
        <w:spacing w:line="276" w:lineRule="auto"/>
        <w:jc w:val="center"/>
        <w:rPr>
          <w:rFonts w:ascii="Poppins" w:eastAsia="Poppins" w:hAnsi="Poppins" w:cs="Poppins"/>
          <w:sz w:val="36"/>
          <w:szCs w:val="36"/>
        </w:rPr>
      </w:pPr>
    </w:p>
    <w:p w14:paraId="604670E9" w14:textId="1056BD51" w:rsidR="00A44A8E" w:rsidRPr="00AD76B0" w:rsidRDefault="00A44A8E" w:rsidP="00A44A8E">
      <w:pPr>
        <w:spacing w:line="276" w:lineRule="auto"/>
        <w:jc w:val="center"/>
        <w:rPr>
          <w:rFonts w:ascii="Poppins" w:eastAsia="Poppins" w:hAnsi="Poppins" w:cs="Poppins"/>
          <w:sz w:val="36"/>
          <w:szCs w:val="36"/>
        </w:rPr>
      </w:pPr>
      <w:r w:rsidRPr="00AD76B0">
        <w:rPr>
          <w:rFonts w:ascii="Poppins" w:eastAsia="Poppins" w:hAnsi="Poppins" w:cs="Poppins"/>
          <w:sz w:val="36"/>
          <w:szCs w:val="36"/>
        </w:rPr>
        <w:t xml:space="preserve"> Förderung inklusiver Hochschulen für Gleichberechtigung und Vielfalt</w:t>
      </w:r>
      <w:r w:rsidRPr="00AD76B0">
        <w:rPr>
          <w:rFonts w:ascii="Poppins" w:eastAsia="Poppins" w:hAnsi="Poppins" w:cs="Poppins"/>
        </w:rPr>
        <w:br/>
      </w:r>
    </w:p>
    <w:p w14:paraId="096695AE" w14:textId="77777777"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rPr>
        <w:t xml:space="preserve">ERASMUS+ KA220-HED </w:t>
      </w:r>
    </w:p>
    <w:p w14:paraId="3F88F16D" w14:textId="77777777"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rPr>
        <w:t>Kooperationspartnerschaften im Hochschulbereich</w:t>
      </w:r>
    </w:p>
    <w:p w14:paraId="03A2CBCD" w14:textId="77777777" w:rsidR="00A44A8E" w:rsidRPr="00AD76B0" w:rsidRDefault="00A44A8E" w:rsidP="00A44A8E">
      <w:pPr>
        <w:spacing w:line="276" w:lineRule="auto"/>
        <w:rPr>
          <w:rFonts w:ascii="Poppins" w:eastAsia="Poppins" w:hAnsi="Poppins" w:cs="Poppins"/>
          <w:b/>
          <w:bCs/>
          <w:sz w:val="36"/>
          <w:szCs w:val="36"/>
        </w:rPr>
      </w:pPr>
    </w:p>
    <w:p w14:paraId="17712BDA" w14:textId="77777777" w:rsidR="00A44A8E" w:rsidRPr="00AD76B0" w:rsidRDefault="00A44A8E" w:rsidP="00A44A8E">
      <w:pPr>
        <w:spacing w:line="276" w:lineRule="auto"/>
        <w:jc w:val="center"/>
        <w:rPr>
          <w:rFonts w:ascii="Poppins" w:eastAsia="Poppins" w:hAnsi="Poppins" w:cs="Poppins"/>
          <w:sz w:val="36"/>
          <w:szCs w:val="36"/>
        </w:rPr>
      </w:pPr>
      <w:r w:rsidRPr="00AD76B0">
        <w:rPr>
          <w:rFonts w:ascii="Poppins" w:eastAsia="Poppins" w:hAnsi="Poppins" w:cs="Poppins"/>
          <w:b/>
          <w:bCs/>
          <w:sz w:val="36"/>
          <w:szCs w:val="36"/>
        </w:rPr>
        <w:t>WP2 &amp; WP3</w:t>
      </w:r>
    </w:p>
    <w:p w14:paraId="6BABFC65" w14:textId="77777777" w:rsidR="00A44A8E" w:rsidRPr="00AD76B0" w:rsidRDefault="00A44A8E" w:rsidP="00A44A8E">
      <w:pPr>
        <w:spacing w:line="276" w:lineRule="auto"/>
        <w:jc w:val="center"/>
        <w:rPr>
          <w:rFonts w:ascii="Poppins" w:eastAsia="Poppins" w:hAnsi="Poppins" w:cs="Poppins"/>
          <w:b/>
          <w:bCs/>
          <w:sz w:val="36"/>
          <w:szCs w:val="36"/>
        </w:rPr>
      </w:pPr>
      <w:r w:rsidRPr="00AD76B0">
        <w:rPr>
          <w:rFonts w:ascii="Poppins" w:eastAsia="Poppins" w:hAnsi="Poppins" w:cs="Poppins"/>
          <w:b/>
          <w:bCs/>
          <w:sz w:val="36"/>
          <w:szCs w:val="36"/>
        </w:rPr>
        <w:t>SCHULUNGSKURS: MODUL 1</w:t>
      </w:r>
    </w:p>
    <w:p w14:paraId="3FFEA35B" w14:textId="5186B66E" w:rsidR="00A44A8E" w:rsidRPr="00AD76B0" w:rsidRDefault="00A44A8E" w:rsidP="00A44A8E">
      <w:pPr>
        <w:spacing w:line="276" w:lineRule="auto"/>
        <w:jc w:val="center"/>
        <w:rPr>
          <w:rFonts w:ascii="Poppins" w:eastAsia="Poppins" w:hAnsi="Poppins" w:cs="Poppins"/>
          <w:b/>
          <w:bCs/>
          <w:sz w:val="36"/>
          <w:szCs w:val="36"/>
        </w:rPr>
      </w:pPr>
      <w:r w:rsidRPr="00AD76B0">
        <w:rPr>
          <w:rFonts w:ascii="Poppins" w:eastAsia="Poppins" w:hAnsi="Poppins" w:cs="Poppins"/>
          <w:b/>
          <w:bCs/>
          <w:sz w:val="36"/>
          <w:szCs w:val="36"/>
        </w:rPr>
        <w:t>EU-Grundlagen, Politik und Vertrauen</w:t>
      </w:r>
    </w:p>
    <w:p w14:paraId="24F3EB31" w14:textId="38117C31"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b/>
          <w:bCs/>
          <w:i/>
          <w:iCs/>
        </w:rPr>
        <w:br/>
      </w:r>
    </w:p>
    <w:p w14:paraId="3C926A94" w14:textId="77777777" w:rsidR="00A44A8E" w:rsidRPr="00AD76B0" w:rsidRDefault="00A44A8E" w:rsidP="00A44A8E">
      <w:pPr>
        <w:spacing w:line="276" w:lineRule="auto"/>
        <w:jc w:val="center"/>
        <w:rPr>
          <w:rFonts w:ascii="Poppins" w:eastAsia="Poppins" w:hAnsi="Poppins" w:cs="Poppins"/>
        </w:rPr>
      </w:pPr>
    </w:p>
    <w:p w14:paraId="580F76F2" w14:textId="77777777"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b/>
          <w:bCs/>
          <w:i/>
          <w:iCs/>
        </w:rPr>
        <w:t>Referenznummer:</w:t>
      </w:r>
      <w:r w:rsidRPr="00AD76B0">
        <w:rPr>
          <w:rFonts w:ascii="Poppins" w:eastAsia="Poppins" w:hAnsi="Poppins" w:cs="Poppins"/>
          <w:b/>
          <w:bCs/>
          <w:i/>
          <w:iCs/>
        </w:rPr>
        <w:br/>
      </w:r>
      <w:r w:rsidRPr="00AD76B0">
        <w:rPr>
          <w:rFonts w:ascii="Poppins" w:eastAsia="Poppins" w:hAnsi="Poppins" w:cs="Poppins"/>
        </w:rPr>
        <w:t>2024-1-TR01-KA220-HED-000254836</w:t>
      </w:r>
    </w:p>
    <w:p w14:paraId="6453112E" w14:textId="77777777" w:rsidR="00A44A8E" w:rsidRPr="00AD76B0" w:rsidRDefault="00A44A8E" w:rsidP="00A44A8E">
      <w:pPr>
        <w:spacing w:line="276" w:lineRule="auto"/>
        <w:rPr>
          <w:rFonts w:ascii="Poppins" w:eastAsia="Poppins" w:hAnsi="Poppins" w:cs="Poppins"/>
        </w:rPr>
      </w:pPr>
    </w:p>
    <w:p w14:paraId="61C707CC" w14:textId="77777777" w:rsidR="00A44A8E" w:rsidRPr="00AD76B0" w:rsidRDefault="00A44A8E" w:rsidP="00A44A8E">
      <w:pPr>
        <w:spacing w:line="276" w:lineRule="auto"/>
        <w:rPr>
          <w:rFonts w:ascii="Poppins" w:eastAsia="Poppins" w:hAnsi="Poppins" w:cs="Poppins"/>
        </w:rPr>
      </w:pPr>
      <w:r w:rsidRPr="00AD76B0">
        <w:rPr>
          <w:noProof/>
        </w:rPr>
        <w:drawing>
          <wp:anchor distT="0" distB="0" distL="114300" distR="114300" simplePos="0" relativeHeight="251660288" behindDoc="0" locked="0" layoutInCell="1" hidden="0" allowOverlap="1" wp14:anchorId="43AF19CC" wp14:editId="2F7D81EC">
            <wp:simplePos x="0" y="0"/>
            <wp:positionH relativeFrom="column">
              <wp:posOffset>1463040</wp:posOffset>
            </wp:positionH>
            <wp:positionV relativeFrom="paragraph">
              <wp:posOffset>154940</wp:posOffset>
            </wp:positionV>
            <wp:extent cx="792000" cy="432000"/>
            <wp:effectExtent l="0" t="0" r="0" b="0"/>
            <wp:wrapNone/>
            <wp:docPr id="1630594589" name="image7.jpg" descr="C:\Users\Hayriye\AppData\Local\Temp\Rar$DIa13924.41547\ab_baskanligi_yazisiz.jpg"/>
            <wp:cNvGraphicFramePr/>
            <a:graphic xmlns:a="http://schemas.openxmlformats.org/drawingml/2006/main">
              <a:graphicData uri="http://schemas.openxmlformats.org/drawingml/2006/picture">
                <pic:pic xmlns:pic="http://schemas.openxmlformats.org/drawingml/2006/picture">
                  <pic:nvPicPr>
                    <pic:cNvPr id="0" name="image7.jpg" descr="C:\Users\Hayriye\AppData\Local\Temp\Rar$DIa13924.41547\ab_baskanligi_yazisiz.jpg"/>
                    <pic:cNvPicPr preferRelativeResize="0"/>
                  </pic:nvPicPr>
                  <pic:blipFill>
                    <a:blip r:embed="rId6"/>
                    <a:srcRect/>
                    <a:stretch>
                      <a:fillRect/>
                    </a:stretch>
                  </pic:blipFill>
                  <pic:spPr>
                    <a:xfrm>
                      <a:off x="0" y="0"/>
                      <a:ext cx="792000" cy="432000"/>
                    </a:xfrm>
                    <a:prstGeom prst="rect">
                      <a:avLst/>
                    </a:prstGeom>
                    <a:ln/>
                  </pic:spPr>
                </pic:pic>
              </a:graphicData>
            </a:graphic>
          </wp:anchor>
        </w:drawing>
      </w:r>
      <w:r w:rsidRPr="00AD76B0">
        <w:rPr>
          <w:noProof/>
        </w:rPr>
        <w:drawing>
          <wp:anchor distT="0" distB="0" distL="114300" distR="114300" simplePos="0" relativeHeight="251661312" behindDoc="0" locked="0" layoutInCell="1" hidden="0" allowOverlap="1" wp14:anchorId="7CEE1A44" wp14:editId="5572933F">
            <wp:simplePos x="0" y="0"/>
            <wp:positionH relativeFrom="column">
              <wp:posOffset>2304415</wp:posOffset>
            </wp:positionH>
            <wp:positionV relativeFrom="paragraph">
              <wp:posOffset>144780</wp:posOffset>
            </wp:positionV>
            <wp:extent cx="792000" cy="432000"/>
            <wp:effectExtent l="0" t="0" r="0" b="0"/>
            <wp:wrapNone/>
            <wp:docPr id="1630594597" name="image4.jpg" descr="C:\Users\Hayriye\AppData\Local\Temp\Rar$DIa10220.48084\ua_logo.jpg"/>
            <wp:cNvGraphicFramePr/>
            <a:graphic xmlns:a="http://schemas.openxmlformats.org/drawingml/2006/main">
              <a:graphicData uri="http://schemas.openxmlformats.org/drawingml/2006/picture">
                <pic:pic xmlns:pic="http://schemas.openxmlformats.org/drawingml/2006/picture">
                  <pic:nvPicPr>
                    <pic:cNvPr id="0" name="image4.jpg" descr="C:\Users\Hayriye\AppData\Local\Temp\Rar$DIa10220.48084\ua_logo.jpg"/>
                    <pic:cNvPicPr preferRelativeResize="0"/>
                  </pic:nvPicPr>
                  <pic:blipFill>
                    <a:blip r:embed="rId7"/>
                    <a:srcRect/>
                    <a:stretch>
                      <a:fillRect/>
                    </a:stretch>
                  </pic:blipFill>
                  <pic:spPr>
                    <a:xfrm>
                      <a:off x="0" y="0"/>
                      <a:ext cx="792000" cy="432000"/>
                    </a:xfrm>
                    <a:prstGeom prst="rect">
                      <a:avLst/>
                    </a:prstGeom>
                    <a:ln/>
                  </pic:spPr>
                </pic:pic>
              </a:graphicData>
            </a:graphic>
          </wp:anchor>
        </w:drawing>
      </w:r>
      <w:r w:rsidRPr="00AD76B0">
        <w:rPr>
          <w:noProof/>
        </w:rPr>
        <w:drawing>
          <wp:anchor distT="0" distB="0" distL="114300" distR="114300" simplePos="0" relativeHeight="251662336" behindDoc="0" locked="0" layoutInCell="1" hidden="0" allowOverlap="1" wp14:anchorId="2787AB22" wp14:editId="1ABD09A0">
            <wp:simplePos x="0" y="0"/>
            <wp:positionH relativeFrom="column">
              <wp:posOffset>3194050</wp:posOffset>
            </wp:positionH>
            <wp:positionV relativeFrom="paragraph">
              <wp:posOffset>145415</wp:posOffset>
            </wp:positionV>
            <wp:extent cx="1584000" cy="432000"/>
            <wp:effectExtent l="0" t="0" r="0" b="0"/>
            <wp:wrapSquare wrapText="bothSides" distT="0" distB="0" distL="114300" distR="114300"/>
            <wp:docPr id="16305945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84000" cy="432000"/>
                    </a:xfrm>
                    <a:prstGeom prst="rect">
                      <a:avLst/>
                    </a:prstGeom>
                    <a:ln/>
                  </pic:spPr>
                </pic:pic>
              </a:graphicData>
            </a:graphic>
          </wp:anchor>
        </w:drawing>
      </w:r>
    </w:p>
    <w:p w14:paraId="2DEB3A98" w14:textId="6B599583" w:rsidR="00A44A8E" w:rsidRDefault="00A44A8E"/>
    <w:p w14:paraId="3232F891" w14:textId="77777777" w:rsidR="00A44A8E" w:rsidRDefault="00A44A8E"/>
    <w:p w14:paraId="28A319B5" w14:textId="77777777" w:rsidR="00A44A8E" w:rsidRDefault="00A44A8E"/>
    <w:p w14:paraId="5FE6519B" w14:textId="77777777" w:rsidR="00A44A8E" w:rsidRDefault="00A44A8E"/>
    <w:p w14:paraId="182FB050" w14:textId="77777777" w:rsidR="00A44A8E" w:rsidRDefault="00A44A8E"/>
    <w:p w14:paraId="22D39AB1" w14:textId="77777777" w:rsidR="00A44A8E" w:rsidRDefault="00A44A8E"/>
    <w:p w14:paraId="42A1F85C" w14:textId="77777777" w:rsidR="00A44A8E" w:rsidRDefault="00A44A8E"/>
    <w:p w14:paraId="56423F1D" w14:textId="77777777" w:rsidR="00A44A8E" w:rsidRDefault="00A44A8E"/>
    <w:p w14:paraId="21E80E91" w14:textId="77777777" w:rsidR="00A44A8E" w:rsidRDefault="00A44A8E"/>
    <w:p w14:paraId="7785916C" w14:textId="77777777" w:rsidR="00A44A8E" w:rsidRDefault="00A44A8E"/>
    <w:p w14:paraId="6AC05BE6" w14:textId="77777777" w:rsidR="00A44A8E" w:rsidRDefault="00A44A8E"/>
    <w:p w14:paraId="404B7205" w14:textId="77777777" w:rsidR="00A44A8E" w:rsidRDefault="00A44A8E"/>
    <w:p w14:paraId="2F869D77" w14:textId="77777777" w:rsidR="00A44A8E" w:rsidRDefault="00A44A8E"/>
    <w:p w14:paraId="5587C1B7" w14:textId="77777777" w:rsidR="00A44A8E" w:rsidRDefault="00A44A8E"/>
    <w:p w14:paraId="231100BF" w14:textId="77777777" w:rsidR="004E6C85" w:rsidRDefault="004E6C85">
      <w:pPr>
        <w:rPr>
          <w:rFonts w:ascii="Poppins" w:hAnsi="Poppins" w:cs="Poppins"/>
          <w:b/>
          <w:bCs/>
          <w:sz w:val="58"/>
          <w:szCs w:val="58"/>
        </w:rPr>
      </w:pPr>
    </w:p>
    <w:p w14:paraId="54010926" w14:textId="0CEAB43B" w:rsidR="00A44A8E" w:rsidRDefault="00A44A8E">
      <w:pPr>
        <w:rPr>
          <w:rFonts w:ascii="Poppins" w:hAnsi="Poppins" w:cs="Poppins"/>
          <w:b/>
          <w:bCs/>
          <w:sz w:val="58"/>
          <w:szCs w:val="58"/>
        </w:rPr>
      </w:pPr>
      <w:r w:rsidRPr="00A44A8E">
        <w:rPr>
          <w:rFonts w:ascii="Poppins" w:hAnsi="Poppins" w:cs="Poppins"/>
          <w:b/>
          <w:bCs/>
          <w:sz w:val="58"/>
          <w:szCs w:val="58"/>
        </w:rPr>
        <w:t>Glossar</w:t>
      </w:r>
    </w:p>
    <w:p w14:paraId="32B60BAD" w14:textId="77777777" w:rsidR="004E6C85" w:rsidRDefault="004E6C85">
      <w:pPr>
        <w:rPr>
          <w:rFonts w:ascii="Poppins" w:hAnsi="Poppins" w:cs="Poppins"/>
          <w:b/>
          <w:bCs/>
          <w:sz w:val="58"/>
          <w:szCs w:val="58"/>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7654"/>
      </w:tblGrid>
      <w:tr w:rsidR="00A44A8E" w:rsidRPr="00AD76B0" w14:paraId="488F710F" w14:textId="77777777" w:rsidTr="00A44A8E">
        <w:tc>
          <w:tcPr>
            <w:tcW w:w="1986" w:type="dxa"/>
          </w:tcPr>
          <w:p w14:paraId="09304332" w14:textId="77777777" w:rsidR="00A44A8E" w:rsidRPr="00AD76B0" w:rsidRDefault="00A44A8E" w:rsidP="00AA0169">
            <w:pPr>
              <w:rPr>
                <w:rFonts w:ascii="Poppins" w:eastAsia="Poppins" w:hAnsi="Poppins" w:cs="Poppins"/>
                <w:b/>
                <w:bCs/>
                <w:color w:val="2F5496"/>
                <w:sz w:val="22"/>
                <w:szCs w:val="22"/>
              </w:rPr>
            </w:pPr>
            <w:r w:rsidRPr="00AD76B0">
              <w:rPr>
                <w:rFonts w:ascii="Poppins" w:eastAsia="Poppins" w:hAnsi="Poppins" w:cs="Poppins"/>
                <w:b/>
                <w:bCs/>
                <w:color w:val="2F5496"/>
                <w:sz w:val="22"/>
                <w:szCs w:val="22"/>
              </w:rPr>
              <w:t>Begriff</w:t>
            </w:r>
          </w:p>
        </w:tc>
        <w:tc>
          <w:tcPr>
            <w:tcW w:w="7654" w:type="dxa"/>
          </w:tcPr>
          <w:p w14:paraId="1B8E98FA" w14:textId="77777777" w:rsidR="00A44A8E" w:rsidRPr="00AD76B0" w:rsidRDefault="00A44A8E" w:rsidP="00AA0169">
            <w:pPr>
              <w:rPr>
                <w:rFonts w:ascii="Poppins" w:eastAsia="Poppins" w:hAnsi="Poppins" w:cs="Poppins"/>
                <w:b/>
                <w:bCs/>
                <w:color w:val="2F5496"/>
                <w:sz w:val="22"/>
                <w:szCs w:val="22"/>
              </w:rPr>
            </w:pPr>
            <w:r w:rsidRPr="00AD76B0">
              <w:rPr>
                <w:rFonts w:ascii="Poppins" w:eastAsia="Poppins" w:hAnsi="Poppins" w:cs="Poppins"/>
                <w:b/>
                <w:bCs/>
                <w:color w:val="2F5496"/>
                <w:sz w:val="22"/>
                <w:szCs w:val="22"/>
              </w:rPr>
              <w:t>Definition</w:t>
            </w:r>
          </w:p>
        </w:tc>
      </w:tr>
      <w:tr w:rsidR="00A44A8E" w:rsidRPr="00AD76B0" w14:paraId="64233F07" w14:textId="77777777" w:rsidTr="00A44A8E">
        <w:tc>
          <w:tcPr>
            <w:tcW w:w="1986" w:type="dxa"/>
          </w:tcPr>
          <w:p w14:paraId="41F115CE" w14:textId="77777777" w:rsidR="00A44A8E" w:rsidRPr="00AD76B0" w:rsidRDefault="00A44A8E" w:rsidP="00AA0169">
            <w:pPr>
              <w:rPr>
                <w:rFonts w:ascii="Poppins" w:eastAsia="Poppins" w:hAnsi="Poppins" w:cs="Poppins"/>
                <w:b/>
                <w:bCs/>
                <w:sz w:val="20"/>
                <w:szCs w:val="20"/>
              </w:rPr>
            </w:pPr>
            <w:r w:rsidRPr="00AD76B0">
              <w:rPr>
                <w:rFonts w:ascii="Poppins" w:eastAsia="Poppins" w:hAnsi="Poppins" w:cs="Poppins"/>
                <w:b/>
                <w:bCs/>
                <w:sz w:val="20"/>
                <w:szCs w:val="20"/>
              </w:rPr>
              <w:t>Inklusion</w:t>
            </w:r>
          </w:p>
        </w:tc>
        <w:tc>
          <w:tcPr>
            <w:tcW w:w="7654" w:type="dxa"/>
          </w:tcPr>
          <w:p w14:paraId="58DE5301"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Sicherstellen, dass alle Menschen, unabhängig von ihrem Hintergrund, ihrer Identität oder ihren Fähigkeiten, uneingeschränkt teilhaben können und sich innerhalb der Institution wertgeschätzt fühlen.</w:t>
            </w:r>
          </w:p>
        </w:tc>
      </w:tr>
      <w:tr w:rsidR="00A44A8E" w:rsidRPr="00AD76B0" w14:paraId="1A254019" w14:textId="77777777" w:rsidTr="00A44A8E">
        <w:tc>
          <w:tcPr>
            <w:tcW w:w="1986" w:type="dxa"/>
          </w:tcPr>
          <w:p w14:paraId="3735DE70" w14:textId="77777777" w:rsidR="00A44A8E" w:rsidRPr="00AD76B0" w:rsidRDefault="00A44A8E" w:rsidP="00AA0169">
            <w:pPr>
              <w:rPr>
                <w:rFonts w:ascii="Poppins" w:eastAsia="Poppins" w:hAnsi="Poppins" w:cs="Poppins"/>
                <w:b/>
                <w:bCs/>
                <w:sz w:val="20"/>
                <w:szCs w:val="20"/>
              </w:rPr>
            </w:pPr>
            <w:r w:rsidRPr="00AD76B0">
              <w:rPr>
                <w:rFonts w:ascii="Poppins" w:eastAsia="Poppins" w:hAnsi="Poppins" w:cs="Poppins"/>
                <w:b/>
                <w:bCs/>
                <w:sz w:val="20"/>
                <w:szCs w:val="20"/>
              </w:rPr>
              <w:t>Vielfalt</w:t>
            </w:r>
          </w:p>
        </w:tc>
        <w:tc>
          <w:tcPr>
            <w:tcW w:w="7654" w:type="dxa"/>
          </w:tcPr>
          <w:p w14:paraId="28A341EF"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Das Vorhandensein unterschiedlicher sozialer, kultureller, sprachlicher und persönlicher Hintergründe unter Studierenden und Mitarbeite</w:t>
            </w:r>
            <w:r>
              <w:rPr>
                <w:rFonts w:ascii="Poppins" w:eastAsia="Poppins" w:hAnsi="Poppins" w:cs="Poppins"/>
                <w:sz w:val="20"/>
                <w:szCs w:val="20"/>
              </w:rPr>
              <w:t>nden</w:t>
            </w:r>
            <w:r w:rsidRPr="00AD76B0">
              <w:rPr>
                <w:rFonts w:ascii="Poppins" w:eastAsia="Poppins" w:hAnsi="Poppins" w:cs="Poppins"/>
                <w:sz w:val="20"/>
                <w:szCs w:val="20"/>
              </w:rPr>
              <w:t>.</w:t>
            </w:r>
          </w:p>
        </w:tc>
      </w:tr>
      <w:tr w:rsidR="00A44A8E" w:rsidRPr="00AD76B0" w14:paraId="34E6CD71" w14:textId="77777777" w:rsidTr="00A44A8E">
        <w:tc>
          <w:tcPr>
            <w:tcW w:w="1986" w:type="dxa"/>
          </w:tcPr>
          <w:p w14:paraId="2218C37E" w14:textId="7CA341C1" w:rsidR="00A44A8E" w:rsidRPr="00AD76B0" w:rsidRDefault="00A44A8E" w:rsidP="00AA0169">
            <w:pPr>
              <w:rPr>
                <w:rFonts w:ascii="Poppins" w:eastAsia="Poppins" w:hAnsi="Poppins" w:cs="Poppins"/>
                <w:b/>
                <w:bCs/>
                <w:sz w:val="20"/>
                <w:szCs w:val="20"/>
              </w:rPr>
            </w:pPr>
            <w:r w:rsidRPr="00AD76B0">
              <w:rPr>
                <w:rFonts w:ascii="Poppins" w:eastAsia="Poppins" w:hAnsi="Poppins" w:cs="Poppins"/>
                <w:b/>
                <w:bCs/>
                <w:sz w:val="20"/>
                <w:szCs w:val="20"/>
              </w:rPr>
              <w:t>Gerechtigkeit</w:t>
            </w:r>
          </w:p>
        </w:tc>
        <w:tc>
          <w:tcPr>
            <w:tcW w:w="7654" w:type="dxa"/>
          </w:tcPr>
          <w:p w14:paraId="2B108C65"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Bereitstellung von Ressourcen und Möglichkeiten, die auf die individuellen Bedürfnisse zugeschnitten sind, damit jede</w:t>
            </w:r>
            <w:r>
              <w:rPr>
                <w:rFonts w:ascii="Poppins" w:eastAsia="Poppins" w:hAnsi="Poppins" w:cs="Poppins"/>
                <w:sz w:val="20"/>
                <w:szCs w:val="20"/>
              </w:rPr>
              <w:t xml:space="preserve"> Person</w:t>
            </w:r>
            <w:r w:rsidRPr="00AD76B0">
              <w:rPr>
                <w:rFonts w:ascii="Poppins" w:eastAsia="Poppins" w:hAnsi="Poppins" w:cs="Poppins"/>
                <w:sz w:val="20"/>
                <w:szCs w:val="20"/>
              </w:rPr>
              <w:t xml:space="preserve"> erfolgreich sein kann.</w:t>
            </w:r>
          </w:p>
        </w:tc>
      </w:tr>
      <w:tr w:rsidR="00A44A8E" w:rsidRPr="00AD76B0" w14:paraId="27D35840" w14:textId="77777777" w:rsidTr="00A44A8E">
        <w:tc>
          <w:tcPr>
            <w:tcW w:w="1986" w:type="dxa"/>
          </w:tcPr>
          <w:p w14:paraId="15643E39" w14:textId="1E1E969E" w:rsidR="00A44A8E" w:rsidRPr="00AD76B0" w:rsidRDefault="00A44A8E" w:rsidP="00AA0169">
            <w:pPr>
              <w:rPr>
                <w:rFonts w:ascii="Poppins" w:eastAsia="Poppins" w:hAnsi="Poppins" w:cs="Poppins"/>
                <w:b/>
                <w:bCs/>
                <w:sz w:val="20"/>
                <w:szCs w:val="20"/>
              </w:rPr>
            </w:pPr>
            <w:r w:rsidRPr="00AD76B0">
              <w:rPr>
                <w:rFonts w:ascii="Poppins" w:eastAsia="Poppins" w:hAnsi="Poppins" w:cs="Poppins"/>
                <w:b/>
                <w:bCs/>
                <w:sz w:val="20"/>
                <w:szCs w:val="20"/>
              </w:rPr>
              <w:t>Institutionelles Vertrauen</w:t>
            </w:r>
          </w:p>
        </w:tc>
        <w:tc>
          <w:tcPr>
            <w:tcW w:w="7654" w:type="dxa"/>
          </w:tcPr>
          <w:p w14:paraId="41B3BFD6"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Vertrauen unter Mitarbeite</w:t>
            </w:r>
            <w:r>
              <w:rPr>
                <w:rFonts w:ascii="Poppins" w:eastAsia="Poppins" w:hAnsi="Poppins" w:cs="Poppins"/>
                <w:sz w:val="20"/>
                <w:szCs w:val="20"/>
              </w:rPr>
              <w:t>nden</w:t>
            </w:r>
            <w:r w:rsidRPr="00AD76B0">
              <w:rPr>
                <w:rFonts w:ascii="Poppins" w:eastAsia="Poppins" w:hAnsi="Poppins" w:cs="Poppins"/>
                <w:sz w:val="20"/>
                <w:szCs w:val="20"/>
              </w:rPr>
              <w:t xml:space="preserve"> und Studierenden, dass Richtlinien, Entscheidungen und Praktiken fair, transparent und einheitlich angewendet werden.</w:t>
            </w:r>
          </w:p>
        </w:tc>
      </w:tr>
      <w:tr w:rsidR="00A44A8E" w:rsidRPr="00AD76B0" w14:paraId="1CF596D2" w14:textId="77777777" w:rsidTr="00A44A8E">
        <w:tc>
          <w:tcPr>
            <w:tcW w:w="1986" w:type="dxa"/>
          </w:tcPr>
          <w:p w14:paraId="71ED4B1D" w14:textId="77777777" w:rsidR="00A44A8E" w:rsidRPr="00AD76B0" w:rsidRDefault="00A44A8E" w:rsidP="00AA0169">
            <w:pPr>
              <w:rPr>
                <w:rFonts w:ascii="Poppins" w:eastAsia="Poppins" w:hAnsi="Poppins" w:cs="Poppins"/>
                <w:b/>
                <w:bCs/>
                <w:sz w:val="20"/>
                <w:szCs w:val="20"/>
              </w:rPr>
            </w:pPr>
            <w:r w:rsidRPr="00AD76B0">
              <w:rPr>
                <w:rFonts w:ascii="Poppins" w:eastAsia="Poppins" w:hAnsi="Poppins" w:cs="Poppins"/>
                <w:b/>
                <w:bCs/>
                <w:sz w:val="20"/>
                <w:szCs w:val="20"/>
              </w:rPr>
              <w:t>Transparenz</w:t>
            </w:r>
          </w:p>
        </w:tc>
        <w:tc>
          <w:tcPr>
            <w:tcW w:w="7654" w:type="dxa"/>
          </w:tcPr>
          <w:p w14:paraId="37679CC2"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Klare, offene Kommunikation über Richtlinien, Verfahren und Entscheidungsprozesse</w:t>
            </w:r>
            <w:r>
              <w:rPr>
                <w:rFonts w:ascii="Poppins" w:eastAsia="Poppins" w:hAnsi="Poppins" w:cs="Poppins"/>
                <w:sz w:val="20"/>
                <w:szCs w:val="20"/>
              </w:rPr>
              <w:t>.</w:t>
            </w:r>
          </w:p>
        </w:tc>
      </w:tr>
      <w:tr w:rsidR="00A44A8E" w:rsidRPr="00AD76B0" w14:paraId="5AC53920" w14:textId="77777777" w:rsidTr="00A44A8E">
        <w:tc>
          <w:tcPr>
            <w:tcW w:w="1986" w:type="dxa"/>
          </w:tcPr>
          <w:p w14:paraId="14A7AFB0" w14:textId="77777777" w:rsidR="00A44A8E" w:rsidRPr="00AD76B0" w:rsidRDefault="00A44A8E" w:rsidP="00AA0169">
            <w:pPr>
              <w:rPr>
                <w:rFonts w:ascii="Poppins" w:eastAsia="Poppins" w:hAnsi="Poppins" w:cs="Poppins"/>
                <w:b/>
                <w:bCs/>
                <w:sz w:val="20"/>
                <w:szCs w:val="20"/>
              </w:rPr>
            </w:pPr>
            <w:r w:rsidRPr="00AD76B0">
              <w:rPr>
                <w:rFonts w:ascii="Poppins" w:eastAsia="Poppins" w:hAnsi="Poppins" w:cs="Poppins"/>
                <w:b/>
                <w:bCs/>
                <w:sz w:val="20"/>
                <w:szCs w:val="20"/>
              </w:rPr>
              <w:t>E</w:t>
            </w:r>
            <w:r>
              <w:rPr>
                <w:rFonts w:ascii="Poppins" w:eastAsia="Poppins" w:hAnsi="Poppins" w:cs="Poppins"/>
                <w:b/>
                <w:bCs/>
                <w:sz w:val="20"/>
                <w:szCs w:val="20"/>
              </w:rPr>
              <w:t>EA</w:t>
            </w:r>
          </w:p>
        </w:tc>
        <w:tc>
          <w:tcPr>
            <w:tcW w:w="7654" w:type="dxa"/>
          </w:tcPr>
          <w:p w14:paraId="000BABAA"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Der Europäische Bildungsraum (</w:t>
            </w:r>
            <w:r>
              <w:rPr>
                <w:rFonts w:ascii="Poppins" w:eastAsia="Poppins" w:hAnsi="Poppins" w:cs="Poppins"/>
                <w:sz w:val="20"/>
                <w:szCs w:val="20"/>
              </w:rPr>
              <w:t xml:space="preserve">European Education Area, </w:t>
            </w:r>
            <w:r w:rsidRPr="00AD76B0">
              <w:rPr>
                <w:rFonts w:ascii="Poppins" w:eastAsia="Poppins" w:hAnsi="Poppins" w:cs="Poppins"/>
                <w:sz w:val="20"/>
                <w:szCs w:val="20"/>
              </w:rPr>
              <w:t>EEA) ist eine EU-Initiative zur Förderung von Qualität, Inklusion und Zusammenarbeit zwischen den Bildungssystemen in Europa.</w:t>
            </w:r>
          </w:p>
        </w:tc>
      </w:tr>
      <w:tr w:rsidR="00A44A8E" w:rsidRPr="00AD76B0" w14:paraId="1E11DD88" w14:textId="77777777" w:rsidTr="00A44A8E">
        <w:tc>
          <w:tcPr>
            <w:tcW w:w="1986" w:type="dxa"/>
          </w:tcPr>
          <w:p w14:paraId="5B2D6C72" w14:textId="77777777" w:rsidR="00A44A8E" w:rsidRPr="00AD76B0" w:rsidRDefault="00A44A8E" w:rsidP="00AA0169">
            <w:pPr>
              <w:rPr>
                <w:rFonts w:ascii="Poppins" w:eastAsia="Poppins" w:hAnsi="Poppins" w:cs="Poppins"/>
                <w:b/>
                <w:bCs/>
                <w:sz w:val="20"/>
                <w:szCs w:val="20"/>
              </w:rPr>
            </w:pPr>
            <w:r>
              <w:rPr>
                <w:rFonts w:ascii="Poppins" w:eastAsia="Poppins" w:hAnsi="Poppins" w:cs="Poppins"/>
                <w:b/>
                <w:bCs/>
                <w:sz w:val="20"/>
                <w:szCs w:val="20"/>
              </w:rPr>
              <w:t>EFR/</w:t>
            </w:r>
            <w:r w:rsidRPr="00AD76B0">
              <w:rPr>
                <w:rFonts w:ascii="Poppins" w:eastAsia="Poppins" w:hAnsi="Poppins" w:cs="Poppins"/>
                <w:b/>
                <w:bCs/>
                <w:sz w:val="20"/>
                <w:szCs w:val="20"/>
              </w:rPr>
              <w:t>E</w:t>
            </w:r>
            <w:r>
              <w:rPr>
                <w:rFonts w:ascii="Poppins" w:eastAsia="Poppins" w:hAnsi="Poppins" w:cs="Poppins"/>
                <w:b/>
                <w:bCs/>
                <w:sz w:val="20"/>
                <w:szCs w:val="20"/>
              </w:rPr>
              <w:t>RA</w:t>
            </w:r>
          </w:p>
        </w:tc>
        <w:tc>
          <w:tcPr>
            <w:tcW w:w="7654" w:type="dxa"/>
          </w:tcPr>
          <w:p w14:paraId="78A6477F"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Der Europäische Forschungsraum (</w:t>
            </w:r>
            <w:r>
              <w:rPr>
                <w:rFonts w:ascii="Poppins" w:eastAsia="Poppins" w:hAnsi="Poppins" w:cs="Poppins"/>
                <w:sz w:val="20"/>
                <w:szCs w:val="20"/>
              </w:rPr>
              <w:t>EFR; European Research Area, ERA</w:t>
            </w:r>
            <w:r w:rsidRPr="00AD76B0">
              <w:rPr>
                <w:rFonts w:ascii="Poppins" w:eastAsia="Poppins" w:hAnsi="Poppins" w:cs="Poppins"/>
                <w:sz w:val="20"/>
                <w:szCs w:val="20"/>
              </w:rPr>
              <w:t>) ist ein EU-Rahmen für offene, kooperative und vertrauenswürdige Forschungssysteme.</w:t>
            </w:r>
          </w:p>
        </w:tc>
      </w:tr>
      <w:tr w:rsidR="00A44A8E" w:rsidRPr="00AD76B0" w14:paraId="4D2859C4" w14:textId="77777777" w:rsidTr="00A44A8E">
        <w:tc>
          <w:tcPr>
            <w:tcW w:w="1986" w:type="dxa"/>
          </w:tcPr>
          <w:p w14:paraId="2E6C70C4" w14:textId="77777777" w:rsidR="00A44A8E" w:rsidRPr="00AD76B0" w:rsidRDefault="00A44A8E" w:rsidP="00AA0169">
            <w:pPr>
              <w:rPr>
                <w:rFonts w:ascii="Poppins" w:eastAsia="Poppins" w:hAnsi="Poppins" w:cs="Poppins"/>
                <w:b/>
                <w:bCs/>
                <w:sz w:val="20"/>
                <w:szCs w:val="20"/>
              </w:rPr>
            </w:pPr>
            <w:r>
              <w:rPr>
                <w:rFonts w:ascii="Poppins" w:eastAsia="Poppins" w:hAnsi="Poppins" w:cs="Poppins"/>
                <w:b/>
                <w:bCs/>
                <w:sz w:val="20"/>
                <w:szCs w:val="20"/>
              </w:rPr>
              <w:t>ESSR/</w:t>
            </w:r>
            <w:r w:rsidRPr="00AD76B0">
              <w:rPr>
                <w:rFonts w:ascii="Poppins" w:eastAsia="Poppins" w:hAnsi="Poppins" w:cs="Poppins"/>
                <w:b/>
                <w:bCs/>
                <w:sz w:val="20"/>
                <w:szCs w:val="20"/>
              </w:rPr>
              <w:t>EPSR</w:t>
            </w:r>
          </w:p>
        </w:tc>
        <w:tc>
          <w:tcPr>
            <w:tcW w:w="7654" w:type="dxa"/>
          </w:tcPr>
          <w:p w14:paraId="112ED830"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Die Europäische Säule sozialer Rechte (</w:t>
            </w:r>
            <w:r>
              <w:rPr>
                <w:rFonts w:ascii="Poppins" w:eastAsia="Poppins" w:hAnsi="Poppins" w:cs="Poppins"/>
                <w:sz w:val="20"/>
                <w:szCs w:val="20"/>
              </w:rPr>
              <w:t xml:space="preserve">ESSR; European Pillar </w:t>
            </w:r>
            <w:proofErr w:type="spellStart"/>
            <w:r>
              <w:rPr>
                <w:rFonts w:ascii="Poppins" w:eastAsia="Poppins" w:hAnsi="Poppins" w:cs="Poppins"/>
                <w:sz w:val="20"/>
                <w:szCs w:val="20"/>
              </w:rPr>
              <w:t>of</w:t>
            </w:r>
            <w:proofErr w:type="spellEnd"/>
            <w:r>
              <w:rPr>
                <w:rFonts w:ascii="Poppins" w:eastAsia="Poppins" w:hAnsi="Poppins" w:cs="Poppins"/>
                <w:sz w:val="20"/>
                <w:szCs w:val="20"/>
              </w:rPr>
              <w:t xml:space="preserve"> </w:t>
            </w:r>
            <w:proofErr w:type="spellStart"/>
            <w:r>
              <w:rPr>
                <w:rFonts w:ascii="Poppins" w:eastAsia="Poppins" w:hAnsi="Poppins" w:cs="Poppins"/>
                <w:sz w:val="20"/>
                <w:szCs w:val="20"/>
              </w:rPr>
              <w:t>Social</w:t>
            </w:r>
            <w:proofErr w:type="spellEnd"/>
            <w:r>
              <w:rPr>
                <w:rFonts w:ascii="Poppins" w:eastAsia="Poppins" w:hAnsi="Poppins" w:cs="Poppins"/>
                <w:sz w:val="20"/>
                <w:szCs w:val="20"/>
              </w:rPr>
              <w:t xml:space="preserve"> Rights, </w:t>
            </w:r>
            <w:r w:rsidRPr="00AD76B0">
              <w:rPr>
                <w:rFonts w:ascii="Poppins" w:eastAsia="Poppins" w:hAnsi="Poppins" w:cs="Poppins"/>
                <w:sz w:val="20"/>
                <w:szCs w:val="20"/>
              </w:rPr>
              <w:t>EPSR) umfasst 20 Grundsätze zur Gewährleistung von Chancengleichheit, fairen Arbeitsbedingungen und sozialer Inklusion.</w:t>
            </w:r>
          </w:p>
        </w:tc>
      </w:tr>
      <w:tr w:rsidR="00A44A8E" w:rsidRPr="00AD76B0" w14:paraId="62E6B3A7" w14:textId="77777777" w:rsidTr="00A44A8E">
        <w:tc>
          <w:tcPr>
            <w:tcW w:w="1986" w:type="dxa"/>
          </w:tcPr>
          <w:p w14:paraId="2008941D" w14:textId="77777777" w:rsidR="00A44A8E" w:rsidRPr="00AD76B0" w:rsidRDefault="00A44A8E" w:rsidP="00AA0169">
            <w:pPr>
              <w:rPr>
                <w:rFonts w:ascii="Poppins" w:eastAsia="Poppins" w:hAnsi="Poppins" w:cs="Poppins"/>
                <w:b/>
                <w:bCs/>
                <w:sz w:val="20"/>
                <w:szCs w:val="20"/>
              </w:rPr>
            </w:pPr>
            <w:r w:rsidRPr="00AD76B0">
              <w:rPr>
                <w:rFonts w:ascii="Poppins" w:eastAsia="Poppins" w:hAnsi="Poppins" w:cs="Poppins"/>
                <w:b/>
                <w:bCs/>
                <w:sz w:val="20"/>
                <w:szCs w:val="20"/>
              </w:rPr>
              <w:t>Politische Kompetenz</w:t>
            </w:r>
          </w:p>
        </w:tc>
        <w:tc>
          <w:tcPr>
            <w:tcW w:w="7654" w:type="dxa"/>
          </w:tcPr>
          <w:p w14:paraId="0426E332"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Die Fähigkeit, institutionelle und EU-weite politische Rahmenbedingungen im beruflichen Alltag zu verstehen, zu interpretieren und anzuwenden.</w:t>
            </w:r>
          </w:p>
        </w:tc>
      </w:tr>
      <w:tr w:rsidR="00A44A8E" w:rsidRPr="00AD76B0" w14:paraId="0C6CB49D" w14:textId="77777777" w:rsidTr="00A44A8E">
        <w:tc>
          <w:tcPr>
            <w:tcW w:w="1986" w:type="dxa"/>
          </w:tcPr>
          <w:p w14:paraId="4786FA3D" w14:textId="77777777" w:rsidR="00A44A8E" w:rsidRPr="00AD76B0" w:rsidRDefault="00A44A8E" w:rsidP="00AA0169">
            <w:pPr>
              <w:rPr>
                <w:rFonts w:ascii="Poppins" w:eastAsia="Poppins" w:hAnsi="Poppins" w:cs="Poppins"/>
                <w:b/>
                <w:bCs/>
                <w:sz w:val="20"/>
                <w:szCs w:val="20"/>
              </w:rPr>
            </w:pPr>
            <w:r w:rsidRPr="00AD76B0">
              <w:rPr>
                <w:rFonts w:ascii="Poppins" w:eastAsia="Poppins" w:hAnsi="Poppins" w:cs="Poppins"/>
                <w:b/>
                <w:bCs/>
                <w:sz w:val="20"/>
                <w:szCs w:val="20"/>
              </w:rPr>
              <w:t>KI-gestütztes Lernen</w:t>
            </w:r>
          </w:p>
        </w:tc>
        <w:tc>
          <w:tcPr>
            <w:tcW w:w="7654" w:type="dxa"/>
          </w:tcPr>
          <w:p w14:paraId="203AD792"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Einsatz von Tools der künstlichen Intelligenz zur Unterstützung von Reflexion, Selbstbewertung und Inhaltserkundung auf ethische und transparente Weise.</w:t>
            </w:r>
          </w:p>
        </w:tc>
      </w:tr>
      <w:tr w:rsidR="00A44A8E" w:rsidRPr="00AD76B0" w14:paraId="377D16F8" w14:textId="77777777" w:rsidTr="00A44A8E">
        <w:tc>
          <w:tcPr>
            <w:tcW w:w="1986" w:type="dxa"/>
          </w:tcPr>
          <w:p w14:paraId="4159A3D5" w14:textId="77777777" w:rsidR="00A44A8E" w:rsidRPr="00AD76B0" w:rsidRDefault="00A44A8E" w:rsidP="00AA0169">
            <w:pPr>
              <w:rPr>
                <w:rFonts w:ascii="Poppins" w:eastAsia="Poppins" w:hAnsi="Poppins" w:cs="Poppins"/>
                <w:b/>
                <w:bCs/>
                <w:sz w:val="20"/>
                <w:szCs w:val="20"/>
              </w:rPr>
            </w:pPr>
            <w:r w:rsidRPr="00AD76B0">
              <w:rPr>
                <w:rFonts w:ascii="Poppins" w:eastAsia="Poppins" w:hAnsi="Poppins" w:cs="Poppins"/>
                <w:b/>
                <w:bCs/>
                <w:sz w:val="20"/>
                <w:szCs w:val="20"/>
              </w:rPr>
              <w:t>Inklusive Pädagogik</w:t>
            </w:r>
          </w:p>
        </w:tc>
        <w:tc>
          <w:tcPr>
            <w:tcW w:w="7654" w:type="dxa"/>
          </w:tcPr>
          <w:p w14:paraId="26EEF015"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Lehransatz, der die Vielfalt der Lernenden anerkennt und wertschätzt und eine gerechte Teilhabe und Erfolg sicherstellt.</w:t>
            </w:r>
          </w:p>
        </w:tc>
      </w:tr>
      <w:tr w:rsidR="00A44A8E" w:rsidRPr="00AD76B0" w14:paraId="422276A4" w14:textId="77777777" w:rsidTr="00A44A8E">
        <w:tc>
          <w:tcPr>
            <w:tcW w:w="1986" w:type="dxa"/>
          </w:tcPr>
          <w:p w14:paraId="54E6EA8E" w14:textId="1684F342" w:rsidR="00A44A8E" w:rsidRPr="00AD76B0" w:rsidRDefault="00A44A8E" w:rsidP="00AA0169">
            <w:pPr>
              <w:rPr>
                <w:rFonts w:ascii="Poppins" w:eastAsia="Poppins" w:hAnsi="Poppins" w:cs="Poppins"/>
                <w:b/>
                <w:bCs/>
                <w:sz w:val="20"/>
                <w:szCs w:val="20"/>
              </w:rPr>
            </w:pPr>
            <w:r w:rsidRPr="00AD76B0">
              <w:rPr>
                <w:rFonts w:ascii="Poppins" w:eastAsia="Poppins" w:hAnsi="Poppins" w:cs="Poppins"/>
                <w:b/>
                <w:bCs/>
                <w:sz w:val="20"/>
                <w:szCs w:val="20"/>
              </w:rPr>
              <w:t>Ganzheitlicher Ansatz der Institution</w:t>
            </w:r>
          </w:p>
        </w:tc>
        <w:tc>
          <w:tcPr>
            <w:tcW w:w="7654" w:type="dxa"/>
          </w:tcPr>
          <w:p w14:paraId="39C127D9" w14:textId="77777777" w:rsidR="00A44A8E" w:rsidRPr="00AD76B0" w:rsidRDefault="00A44A8E" w:rsidP="00AA0169">
            <w:pPr>
              <w:rPr>
                <w:rFonts w:ascii="Poppins" w:eastAsia="Poppins" w:hAnsi="Poppins" w:cs="Poppins"/>
                <w:sz w:val="20"/>
                <w:szCs w:val="20"/>
              </w:rPr>
            </w:pPr>
            <w:r w:rsidRPr="00AD76B0">
              <w:rPr>
                <w:rFonts w:ascii="Poppins" w:eastAsia="Poppins" w:hAnsi="Poppins" w:cs="Poppins"/>
                <w:sz w:val="20"/>
                <w:szCs w:val="20"/>
              </w:rPr>
              <w:t>Koordinierte Maßnahmen in allen Bereichen der Institution (akademisch und nicht-akademisch), um Inklusions- und Nachhaltigkeitsziele zu erreichen.</w:t>
            </w:r>
          </w:p>
        </w:tc>
      </w:tr>
    </w:tbl>
    <w:p w14:paraId="377DA001" w14:textId="77777777" w:rsidR="00A44A8E" w:rsidRPr="00A44A8E" w:rsidRDefault="00A44A8E">
      <w:pPr>
        <w:rPr>
          <w:rFonts w:ascii="Poppins" w:hAnsi="Poppins" w:cs="Poppins"/>
          <w:b/>
          <w:bCs/>
          <w:sz w:val="58"/>
          <w:szCs w:val="58"/>
        </w:rPr>
      </w:pPr>
    </w:p>
    <w:sectPr w:rsidR="00A44A8E" w:rsidRPr="00A44A8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30AD" w14:textId="77777777" w:rsidR="002031A3" w:rsidRDefault="002031A3" w:rsidP="00A44A8E">
      <w:r>
        <w:separator/>
      </w:r>
    </w:p>
  </w:endnote>
  <w:endnote w:type="continuationSeparator" w:id="0">
    <w:p w14:paraId="1A4CDE4E" w14:textId="77777777" w:rsidR="002031A3" w:rsidRDefault="002031A3" w:rsidP="00A4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485734"/>
      <w:docPartObj>
        <w:docPartGallery w:val="Page Numbers (Bottom of Page)"/>
        <w:docPartUnique/>
      </w:docPartObj>
    </w:sdtPr>
    <w:sdtContent>
      <w:p w14:paraId="5C5C01F2" w14:textId="73664730" w:rsidR="00A44A8E" w:rsidRDefault="00A44A8E">
        <w:pPr>
          <w:pStyle w:val="Fuzeile"/>
          <w:jc w:val="right"/>
        </w:pPr>
        <w:r w:rsidRPr="00AD76B0">
          <w:rPr>
            <w:noProof/>
          </w:rPr>
          <w:drawing>
            <wp:anchor distT="0" distB="0" distL="114300" distR="114300" simplePos="0" relativeHeight="251662336" behindDoc="1" locked="0" layoutInCell="1" hidden="0" allowOverlap="1" wp14:anchorId="3FE988B9" wp14:editId="227E1D31">
              <wp:simplePos x="0" y="0"/>
              <wp:positionH relativeFrom="column">
                <wp:posOffset>-171450</wp:posOffset>
              </wp:positionH>
              <wp:positionV relativeFrom="paragraph">
                <wp:posOffset>198755</wp:posOffset>
              </wp:positionV>
              <wp:extent cx="733425" cy="276225"/>
              <wp:effectExtent l="0" t="0" r="9525" b="9525"/>
              <wp:wrapNone/>
              <wp:docPr id="1399465322" name="image8.jpg" descr="Ein Bild, das Text, Billardkugel, Kreis, Symbol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630594591" name="image8.jpg" descr="Ein Bild, das Text, Billardkugel, Kreis, Symbol enthält.&#10;&#10;KI-generierte Inhalte können fehlerhaft sein."/>
                      <pic:cNvPicPr preferRelativeResize="0"/>
                    </pic:nvPicPr>
                    <pic:blipFill>
                      <a:blip r:embed="rId1"/>
                      <a:srcRect/>
                      <a:stretch>
                        <a:fillRect/>
                      </a:stretch>
                    </pic:blipFill>
                    <pic:spPr>
                      <a:xfrm>
                        <a:off x="0" y="0"/>
                        <a:ext cx="733425" cy="276225"/>
                      </a:xfrm>
                      <a:prstGeom prst="rect">
                        <a:avLst/>
                      </a:prstGeom>
                      <a:ln/>
                    </pic:spPr>
                  </pic:pic>
                </a:graphicData>
              </a:graphic>
              <wp14:sizeRelH relativeFrom="margin">
                <wp14:pctWidth>0</wp14:pctWidth>
              </wp14:sizeRelH>
              <wp14:sizeRelV relativeFrom="margin">
                <wp14:pctHeight>0</wp14:pctHeight>
              </wp14:sizeRelV>
            </wp:anchor>
          </w:drawing>
        </w:r>
        <w:r w:rsidRPr="00AD76B0">
          <w:rPr>
            <w:noProof/>
          </w:rPr>
          <mc:AlternateContent>
            <mc:Choice Requires="wps">
              <w:drawing>
                <wp:anchor distT="0" distB="0" distL="114300" distR="114300" simplePos="0" relativeHeight="251663360" behindDoc="0" locked="0" layoutInCell="1" hidden="0" allowOverlap="1" wp14:anchorId="0C3705FF" wp14:editId="32EF5434">
                  <wp:simplePos x="0" y="0"/>
                  <wp:positionH relativeFrom="column">
                    <wp:posOffset>732790</wp:posOffset>
                  </wp:positionH>
                  <wp:positionV relativeFrom="paragraph">
                    <wp:posOffset>74930</wp:posOffset>
                  </wp:positionV>
                  <wp:extent cx="5000625" cy="590550"/>
                  <wp:effectExtent l="0" t="0" r="0" b="0"/>
                  <wp:wrapNone/>
                  <wp:docPr id="1604487999" name="Rechteck 1604487999"/>
                  <wp:cNvGraphicFramePr/>
                  <a:graphic xmlns:a="http://schemas.openxmlformats.org/drawingml/2006/main">
                    <a:graphicData uri="http://schemas.microsoft.com/office/word/2010/wordprocessingShape">
                      <wps:wsp>
                        <wps:cNvSpPr/>
                        <wps:spPr>
                          <a:xfrm>
                            <a:off x="0" y="0"/>
                            <a:ext cx="5000625" cy="590550"/>
                          </a:xfrm>
                          <a:prstGeom prst="rect">
                            <a:avLst/>
                          </a:prstGeom>
                          <a:noFill/>
                          <a:ln>
                            <a:noFill/>
                          </a:ln>
                        </wps:spPr>
                        <wps:txbx>
                          <w:txbxContent>
                            <w:p w14:paraId="205A1604" w14:textId="77777777" w:rsidR="00A44A8E" w:rsidRPr="00AF087B" w:rsidRDefault="00A44A8E" w:rsidP="00A44A8E">
                              <w:pPr>
                                <w:jc w:val="center"/>
                                <w:textDirection w:val="btLr"/>
                                <w:rPr>
                                  <w:sz w:val="20"/>
                                  <w:szCs w:val="20"/>
                                  <w:lang w:val="en-IE"/>
                                </w:rPr>
                              </w:pPr>
                              <w:r w:rsidRPr="00AF087B">
                                <w:rPr>
                                  <w:rFonts w:ascii="Poppins" w:eastAsia="Poppins" w:hAnsi="Poppins" w:cs="Poppins"/>
                                  <w:color w:val="000000"/>
                                  <w:sz w:val="14"/>
                                  <w:szCs w:val="20"/>
                                  <w:lang w:val="en-IE"/>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C3705FF" id="Rechteck 1604487999" o:spid="_x0000_s1026" style="position:absolute;left:0;text-align:left;margin-left:57.7pt;margin-top:5.9pt;width:393.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6erAEAAE4DAAAOAAAAZHJzL2Uyb0RvYy54bWysU9uO0zAQfUfiHyy/06TVBtio6QqxKkJa&#10;QaWFD3Adu7HkGzNuk/49Y7e0Bd5W++KMZyYz55wZLx8mZ9lBAZrgOz6f1ZwpL0Nv/K7jP3+s333k&#10;DJPwvbDBq44fFfKH1ds3yzG2ahGGYHsFjIp4bMfY8SGl2FYVykE5gbMQlaegDuBEoivsqh7ESNWd&#10;rRZ1/b4aA/QRglSI5H08Bfmq1NdayfRda1SJ2Y4TtlROKOc2n9VqKdodiDgYeYYhXoDCCeOp6aXU&#10;o0iC7cH8V8oZCQGDTjMZXBW0NlIVDsRmXv/D5nkQURUuJA7Gi0z4emXlt8Nz3ADJMEZskczMYtLg&#10;8pfwsamIdbyIpabEJDmbmuRfNJxJijX3ddMUNavr3xEwfVHBsWx0HGgYRSNxeMJEHSn1T0pu5sPa&#10;WFsGYv1fDkrMnuoKMVtp2k5n3NvQHzfAMMq1oV5PAtNGAA1yztlIw+04/toLUJzZr57Uu5/fZeSp&#10;XO6aDzWtBtxGtrcR4eUQaGcSZyfzcyobdML4aZ+CNoVPRnWCcgZLQys0zwuWt+L2XrKuz2D1GwAA&#10;//8DAFBLAwQUAAYACAAAACEAIyBm/9wAAAAKAQAADwAAAGRycy9kb3ducmV2LnhtbEyPMU/DMBCF&#10;dyT+g3VIbNROlVZtGqdCCAZG0g6MbnwkUe1zFDtt+u+5TrDdu3t6971yP3snLjjGPpCGbKFAIDXB&#10;9tRqOB4+XjYgYjJkjQuEGm4YYV89PpSmsOFKX3ipUys4hGJhNHQpDYWUsenQm7gIAxLffsLoTWI5&#10;ttKO5srh3smlUmvpTU/8oTMDvnXYnOvJaxjQ2cnltfpu5PtI2frzIG8rrZ+f5tcdiIRz+jPDHZ/R&#10;oWKmU5jIRuFYZ6ucrfeBK7Bhq5ZbECdeqHwDsirl/wrVLwAAAP//AwBQSwECLQAUAAYACAAAACEA&#10;toM4kv4AAADhAQAAEwAAAAAAAAAAAAAAAAAAAAAAW0NvbnRlbnRfVHlwZXNdLnhtbFBLAQItABQA&#10;BgAIAAAAIQA4/SH/1gAAAJQBAAALAAAAAAAAAAAAAAAAAC8BAABfcmVscy8ucmVsc1BLAQItABQA&#10;BgAIAAAAIQAAhw6erAEAAE4DAAAOAAAAAAAAAAAAAAAAAC4CAABkcnMvZTJvRG9jLnhtbFBLAQIt&#10;ABQABgAIAAAAIQAjIGb/3AAAAAoBAAAPAAAAAAAAAAAAAAAAAAYEAABkcnMvZG93bnJldi54bWxQ&#10;SwUGAAAAAAQABADzAAAADwUAAAAA&#10;" filled="f" stroked="f">
                  <v:textbox inset="2.53958mm,1.2694mm,2.53958mm,1.2694mm">
                    <w:txbxContent>
                      <w:p w14:paraId="205A1604" w14:textId="77777777" w:rsidR="00A44A8E" w:rsidRPr="00AF087B" w:rsidRDefault="00A44A8E" w:rsidP="00A44A8E">
                        <w:pPr>
                          <w:jc w:val="center"/>
                          <w:textDirection w:val="btLr"/>
                          <w:rPr>
                            <w:sz w:val="20"/>
                            <w:szCs w:val="20"/>
                            <w:lang w:val="en-IE"/>
                          </w:rPr>
                        </w:pPr>
                        <w:r w:rsidRPr="00AF087B">
                          <w:rPr>
                            <w:rFonts w:ascii="Poppins" w:eastAsia="Poppins" w:hAnsi="Poppins" w:cs="Poppins"/>
                            <w:color w:val="000000"/>
                            <w:sz w:val="14"/>
                            <w:szCs w:val="20"/>
                            <w:lang w:val="en-IE"/>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v:rect>
              </w:pict>
            </mc:Fallback>
          </mc:AlternateContent>
        </w:r>
        <w:r>
          <w:fldChar w:fldCharType="begin"/>
        </w:r>
        <w:r>
          <w:instrText>PAGE   \* MERGEFORMAT</w:instrText>
        </w:r>
        <w:r>
          <w:fldChar w:fldCharType="separate"/>
        </w:r>
        <w:r>
          <w:t>2</w:t>
        </w:r>
        <w:r>
          <w:fldChar w:fldCharType="end"/>
        </w:r>
      </w:p>
    </w:sdtContent>
  </w:sdt>
  <w:p w14:paraId="3662A3E4" w14:textId="70258378" w:rsidR="00A44A8E" w:rsidRDefault="00A44A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6D99" w14:textId="77777777" w:rsidR="002031A3" w:rsidRDefault="002031A3" w:rsidP="00A44A8E">
      <w:r>
        <w:separator/>
      </w:r>
    </w:p>
  </w:footnote>
  <w:footnote w:type="continuationSeparator" w:id="0">
    <w:p w14:paraId="112BA7D6" w14:textId="77777777" w:rsidR="002031A3" w:rsidRDefault="002031A3" w:rsidP="00A44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1553" w14:textId="3221DE41" w:rsidR="00A44A8E" w:rsidRDefault="00A44A8E">
    <w:pPr>
      <w:pStyle w:val="Kopfzeile"/>
    </w:pPr>
    <w:r w:rsidRPr="00AD76B0">
      <w:rPr>
        <w:noProof/>
        <w:color w:val="000000"/>
      </w:rPr>
      <w:drawing>
        <wp:anchor distT="0" distB="0" distL="114300" distR="114300" simplePos="0" relativeHeight="251660288" behindDoc="0" locked="0" layoutInCell="1" allowOverlap="1" wp14:anchorId="2D9F0C02" wp14:editId="793BD1A9">
          <wp:simplePos x="0" y="0"/>
          <wp:positionH relativeFrom="column">
            <wp:posOffset>-566420</wp:posOffset>
          </wp:positionH>
          <wp:positionV relativeFrom="paragraph">
            <wp:posOffset>-220980</wp:posOffset>
          </wp:positionV>
          <wp:extent cx="1323975" cy="581025"/>
          <wp:effectExtent l="0" t="0" r="0" b="0"/>
          <wp:wrapNone/>
          <wp:docPr id="119998615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23975" cy="581025"/>
                  </a:xfrm>
                  <a:prstGeom prst="rect">
                    <a:avLst/>
                  </a:prstGeom>
                  <a:ln/>
                </pic:spPr>
              </pic:pic>
            </a:graphicData>
          </a:graphic>
          <wp14:sizeRelH relativeFrom="margin">
            <wp14:pctWidth>0</wp14:pctWidth>
          </wp14:sizeRelH>
          <wp14:sizeRelV relativeFrom="margin">
            <wp14:pctHeight>0</wp14:pctHeight>
          </wp14:sizeRelV>
        </wp:anchor>
      </w:drawing>
    </w:r>
    <w:r w:rsidRPr="00AD76B0">
      <w:rPr>
        <w:noProof/>
      </w:rPr>
      <w:drawing>
        <wp:anchor distT="0" distB="0" distL="114300" distR="114300" simplePos="0" relativeHeight="251659264" behindDoc="0" locked="0" layoutInCell="1" hidden="0" allowOverlap="1" wp14:anchorId="015E95EB" wp14:editId="2BCCCF5A">
          <wp:simplePos x="0" y="0"/>
          <wp:positionH relativeFrom="column">
            <wp:posOffset>4939030</wp:posOffset>
          </wp:positionH>
          <wp:positionV relativeFrom="paragraph">
            <wp:posOffset>-220980</wp:posOffset>
          </wp:positionV>
          <wp:extent cx="1412240" cy="349250"/>
          <wp:effectExtent l="0" t="0" r="0" b="0"/>
          <wp:wrapNone/>
          <wp:docPr id="152359800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412240" cy="349250"/>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E"/>
    <w:rsid w:val="002031A3"/>
    <w:rsid w:val="004E6C85"/>
    <w:rsid w:val="006D4CCA"/>
    <w:rsid w:val="00A44A8E"/>
    <w:rsid w:val="00B03FE0"/>
    <w:rsid w:val="00E20A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1C1A3"/>
  <w15:chartTrackingRefBased/>
  <w15:docId w15:val="{DAC57B20-76BE-4E1F-93E4-99B3BA6D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A8E"/>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A44A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A44A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A44A8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A44A8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A44A8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A44A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A44A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A44A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A44A8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4A8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4A8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4A8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4A8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4A8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4A8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4A8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4A8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4A8E"/>
    <w:rPr>
      <w:rFonts w:eastAsiaTheme="majorEastAsia" w:cstheme="majorBidi"/>
      <w:color w:val="272727" w:themeColor="text1" w:themeTint="D8"/>
    </w:rPr>
  </w:style>
  <w:style w:type="paragraph" w:styleId="Titel">
    <w:name w:val="Title"/>
    <w:basedOn w:val="Standard"/>
    <w:next w:val="Standard"/>
    <w:link w:val="TitelZchn"/>
    <w:uiPriority w:val="10"/>
    <w:qFormat/>
    <w:rsid w:val="00A44A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A44A8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4A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A44A8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4A8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A44A8E"/>
    <w:rPr>
      <w:i/>
      <w:iCs/>
      <w:color w:val="404040" w:themeColor="text1" w:themeTint="BF"/>
    </w:rPr>
  </w:style>
  <w:style w:type="paragraph" w:styleId="Listenabsatz">
    <w:name w:val="List Paragraph"/>
    <w:basedOn w:val="Standard"/>
    <w:uiPriority w:val="34"/>
    <w:qFormat/>
    <w:rsid w:val="00A44A8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A44A8E"/>
    <w:rPr>
      <w:i/>
      <w:iCs/>
      <w:color w:val="0F4761" w:themeColor="accent1" w:themeShade="BF"/>
    </w:rPr>
  </w:style>
  <w:style w:type="paragraph" w:styleId="IntensivesZitat">
    <w:name w:val="Intense Quote"/>
    <w:basedOn w:val="Standard"/>
    <w:next w:val="Standard"/>
    <w:link w:val="IntensivesZitatZchn"/>
    <w:uiPriority w:val="30"/>
    <w:qFormat/>
    <w:rsid w:val="00A44A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A44A8E"/>
    <w:rPr>
      <w:i/>
      <w:iCs/>
      <w:color w:val="0F4761" w:themeColor="accent1" w:themeShade="BF"/>
    </w:rPr>
  </w:style>
  <w:style w:type="character" w:styleId="IntensiverVerweis">
    <w:name w:val="Intense Reference"/>
    <w:basedOn w:val="Absatz-Standardschriftart"/>
    <w:uiPriority w:val="32"/>
    <w:qFormat/>
    <w:rsid w:val="00A44A8E"/>
    <w:rPr>
      <w:b/>
      <w:bCs/>
      <w:smallCaps/>
      <w:color w:val="0F4761" w:themeColor="accent1" w:themeShade="BF"/>
      <w:spacing w:val="5"/>
    </w:rPr>
  </w:style>
  <w:style w:type="paragraph" w:styleId="Kopfzeile">
    <w:name w:val="header"/>
    <w:basedOn w:val="Standard"/>
    <w:link w:val="KopfzeileZchn"/>
    <w:uiPriority w:val="99"/>
    <w:unhideWhenUsed/>
    <w:rsid w:val="00A44A8E"/>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fzeileZchn">
    <w:name w:val="Kopfzeile Zchn"/>
    <w:basedOn w:val="Absatz-Standardschriftart"/>
    <w:link w:val="Kopfzeile"/>
    <w:uiPriority w:val="99"/>
    <w:rsid w:val="00A44A8E"/>
  </w:style>
  <w:style w:type="paragraph" w:styleId="Fuzeile">
    <w:name w:val="footer"/>
    <w:basedOn w:val="Standard"/>
    <w:link w:val="FuzeileZchn"/>
    <w:uiPriority w:val="99"/>
    <w:unhideWhenUsed/>
    <w:rsid w:val="00A44A8E"/>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FuzeileZchn">
    <w:name w:val="Fußzeile Zchn"/>
    <w:basedOn w:val="Absatz-Standardschriftart"/>
    <w:link w:val="Fuzeile"/>
    <w:uiPriority w:val="99"/>
    <w:rsid w:val="00A4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2026</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Happ</dc:creator>
  <cp:keywords/>
  <dc:description/>
  <cp:lastModifiedBy>Saskia Happ</cp:lastModifiedBy>
  <cp:revision>2</cp:revision>
  <dcterms:created xsi:type="dcterms:W3CDTF">2026-05-19T10:26:00Z</dcterms:created>
  <dcterms:modified xsi:type="dcterms:W3CDTF">2026-05-19T10:53:00Z</dcterms:modified>
</cp:coreProperties>
</file>